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8E42" w14:textId="37AF977B"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fldSimple w:instr=" DOCPROPERTY  MtgTitle  \* MERGEFORMAT "/>
      <w:r>
        <w:rPr>
          <w:b/>
          <w:i/>
          <w:noProof/>
          <w:sz w:val="28"/>
        </w:rPr>
        <w:tab/>
      </w:r>
      <w:r w:rsidR="00041A10" w:rsidRPr="00041A10">
        <w:rPr>
          <w:b/>
          <w:i/>
          <w:noProof/>
          <w:sz w:val="28"/>
        </w:rPr>
        <w:t>R5-242518</w:t>
      </w:r>
    </w:p>
    <w:p w14:paraId="7885B623" w14:textId="544ABB45" w:rsidR="007748ED" w:rsidRDefault="00000000" w:rsidP="00C00F23">
      <w:pPr>
        <w:pStyle w:val="CRCoverPage"/>
        <w:outlineLvl w:val="0"/>
        <w:rPr>
          <w:b/>
          <w:noProof/>
          <w:sz w:val="24"/>
        </w:rPr>
      </w:pPr>
      <w:fldSimple w:instr=" DOCPROPERTY  Location  \* MERGEFORMAT ">
        <w:r w:rsidR="002235E1">
          <w:rPr>
            <w:b/>
            <w:noProof/>
            <w:sz w:val="24"/>
          </w:rPr>
          <w:t>Fukuoka City, Fukuoka</w:t>
        </w:r>
      </w:fldSimple>
      <w:r w:rsidR="002235E1">
        <w:rPr>
          <w:b/>
          <w:noProof/>
          <w:sz w:val="24"/>
        </w:rPr>
        <w:t xml:space="preserve">, </w:t>
      </w:r>
      <w:fldSimple w:instr=" DOCPROPERTY  Country  \* MERGEFORMAT ">
        <w:r w:rsidR="002235E1">
          <w:rPr>
            <w:b/>
            <w:noProof/>
            <w:sz w:val="24"/>
          </w:rPr>
          <w:t>Japan</w:t>
        </w:r>
      </w:fldSimple>
      <w:r w:rsidR="002235E1">
        <w:rPr>
          <w:b/>
          <w:noProof/>
          <w:sz w:val="24"/>
        </w:rPr>
        <w:t xml:space="preserve">, </w:t>
      </w:r>
      <w:fldSimple w:instr=" DOCPROPERTY  StartDate  \* MERGEFORMAT ">
        <w:r w:rsidR="002235E1">
          <w:rPr>
            <w:b/>
            <w:noProof/>
            <w:sz w:val="24"/>
          </w:rPr>
          <w:t>20th May 2024</w:t>
        </w:r>
      </w:fldSimple>
      <w:r w:rsidR="002235E1">
        <w:rPr>
          <w:b/>
          <w:noProof/>
          <w:sz w:val="24"/>
        </w:rPr>
        <w:t xml:space="preserve"> - </w:t>
      </w:r>
      <w:fldSimple w:instr=" DOCPROPERTY  EndDate  \* MERGEFORMAT ">
        <w:r w:rsidR="002235E1">
          <w:rPr>
            <w:b/>
            <w:noProof/>
            <w:sz w:val="24"/>
          </w:rPr>
          <w:t>24th May 2024</w:t>
        </w:r>
      </w:fldSimple>
    </w:p>
    <w:p w14:paraId="35952388" w14:textId="3CDC409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AC19F1" w:rsidRPr="00AC19F1">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4735C25"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D17B06" w:rsidRPr="00D17B06">
        <w:rPr>
          <w:rFonts w:ascii="Arial" w:hAnsi="Arial" w:cs="Arial"/>
          <w:sz w:val="24"/>
          <w:szCs w:val="24"/>
        </w:rPr>
        <w:t>Discussion on introducing new SUL test case 7.7C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2477E02B" w:rsidR="000606FD" w:rsidRPr="00354167" w:rsidRDefault="000833ED" w:rsidP="005E2166">
      <w:pPr>
        <w:rPr>
          <w:rFonts w:eastAsia="Batang"/>
        </w:rPr>
      </w:pPr>
      <w:r w:rsidRPr="00354167">
        <w:rPr>
          <w:rFonts w:eastAsia="Batang"/>
        </w:rPr>
        <w:t>This contribution</w:t>
      </w:r>
      <w:r w:rsidR="00542587">
        <w:rPr>
          <w:rFonts w:eastAsia="Batang"/>
        </w:rPr>
        <w:t xml:space="preserve"> </w:t>
      </w:r>
      <w:r w:rsidR="005E3251">
        <w:rPr>
          <w:rFonts w:eastAsia="Batang"/>
        </w:rPr>
        <w:t>analyses</w:t>
      </w:r>
      <w:r w:rsidR="00542587">
        <w:rPr>
          <w:rFonts w:eastAsia="Batang"/>
        </w:rPr>
        <w:t xml:space="preserve"> th</w:t>
      </w:r>
      <w:r w:rsidR="00524CE8">
        <w:rPr>
          <w:rFonts w:eastAsia="Batang"/>
        </w:rPr>
        <w:t>e reason why</w:t>
      </w:r>
      <w:r w:rsidR="00EE0A12">
        <w:rPr>
          <w:rFonts w:eastAsia="Batang"/>
        </w:rPr>
        <w:t xml:space="preserve"> spurious response</w:t>
      </w:r>
      <w:r w:rsidR="00524CE8">
        <w:rPr>
          <w:rFonts w:eastAsia="Batang"/>
        </w:rPr>
        <w:t xml:space="preserve"> test case 7.7C</w:t>
      </w:r>
      <w:r w:rsidR="00EE0A12">
        <w:rPr>
          <w:rFonts w:eastAsia="Batang"/>
        </w:rPr>
        <w:t xml:space="preserve"> for SUL</w:t>
      </w:r>
      <w:r w:rsidR="00524CE8">
        <w:rPr>
          <w:rFonts w:eastAsia="Batang"/>
        </w:rPr>
        <w:t xml:space="preserve"> </w:t>
      </w:r>
      <w:r w:rsidR="009C667C">
        <w:rPr>
          <w:rFonts w:eastAsia="Batang"/>
        </w:rPr>
        <w:t>needs to be defined</w:t>
      </w:r>
      <w:r w:rsidR="00EA6557">
        <w:rPr>
          <w:rFonts w:eastAsia="Batang"/>
        </w:rPr>
        <w:t xml:space="preserve"> and paired with execution and definition of</w:t>
      </w:r>
      <w:r w:rsidR="00EE0A12">
        <w:rPr>
          <w:rFonts w:eastAsia="Batang"/>
        </w:rPr>
        <w:t xml:space="preserve"> </w:t>
      </w:r>
      <w:r w:rsidR="0031353F">
        <w:rPr>
          <w:rFonts w:eastAsia="Batang"/>
        </w:rPr>
        <w:t>Out-of-band</w:t>
      </w:r>
      <w:r w:rsidR="00EE0A12">
        <w:rPr>
          <w:rFonts w:eastAsia="Batang"/>
        </w:rPr>
        <w:t xml:space="preserve"> blocking for SUL</w:t>
      </w:r>
      <w:r w:rsidR="00EA6557">
        <w:rPr>
          <w:rFonts w:eastAsia="Batang"/>
        </w:rPr>
        <w:t xml:space="preserve"> </w:t>
      </w:r>
      <w:r w:rsidR="00FE1983">
        <w:rPr>
          <w:rFonts w:eastAsia="Batang"/>
        </w:rPr>
        <w:t xml:space="preserve">test case </w:t>
      </w:r>
      <w:r w:rsidR="00EA6557">
        <w:rPr>
          <w:rFonts w:eastAsia="Batang"/>
        </w:rPr>
        <w:t>7.6C.3</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2FC63ED9" w14:textId="7173EEA9" w:rsidR="006D30AC" w:rsidRDefault="00EE0A12" w:rsidP="001726C2">
      <w:r>
        <w:t xml:space="preserve">Historically, </w:t>
      </w:r>
      <w:r w:rsidR="0031353F">
        <w:t>Out-of-band</w:t>
      </w:r>
      <w:r>
        <w:t xml:space="preserve"> blocking test cases have been paired with spurious response test cases. </w:t>
      </w:r>
    </w:p>
    <w:p w14:paraId="303EA165" w14:textId="47EA6497" w:rsidR="00E8172D" w:rsidRDefault="006D30AC" w:rsidP="00E8172D">
      <w:r>
        <w:t xml:space="preserve">Minimum requirements in </w:t>
      </w:r>
      <w:r w:rsidR="0031353F">
        <w:t>Out-of-band</w:t>
      </w:r>
      <w:r>
        <w:t xml:space="preserve"> blocking test cases in TS 38.521-1 </w:t>
      </w:r>
      <w:r>
        <w:fldChar w:fldCharType="begin"/>
      </w:r>
      <w:r>
        <w:instrText xml:space="preserve"> REF _Ref164935831 \r \h </w:instrText>
      </w:r>
      <w:r>
        <w:fldChar w:fldCharType="separate"/>
      </w:r>
      <w:r w:rsidR="000647D5">
        <w:t>[2]</w:t>
      </w:r>
      <w:r>
        <w:fldChar w:fldCharType="end"/>
      </w:r>
      <w:r>
        <w:t xml:space="preserve">, taken from core requirements in TS 38.101-1 </w:t>
      </w:r>
      <w:r>
        <w:fldChar w:fldCharType="begin"/>
      </w:r>
      <w:r>
        <w:instrText xml:space="preserve"> REF _Ref164935816 \r \h </w:instrText>
      </w:r>
      <w:r>
        <w:fldChar w:fldCharType="separate"/>
      </w:r>
      <w:r w:rsidR="000647D5">
        <w:t>[1]</w:t>
      </w:r>
      <w:r>
        <w:fldChar w:fldCharType="end"/>
      </w:r>
      <w:r>
        <w:t xml:space="preserve">, define a maximum number of frequencies for which the </w:t>
      </w:r>
      <w:r w:rsidR="0031353F">
        <w:t>Out-of-band</w:t>
      </w:r>
      <w:r>
        <w:t xml:space="preserve"> blocking requirements can be not satisfied by the UE. However, for those frequencies, the spurious response requirements apply.</w:t>
      </w:r>
      <w:bookmarkStart w:id="3" w:name="_Ref164944264"/>
    </w:p>
    <w:p w14:paraId="37A90D0B" w14:textId="4D758365" w:rsidR="00856108" w:rsidRPr="00E8172D" w:rsidRDefault="00856108" w:rsidP="00E8172D">
      <w:r w:rsidRPr="00E8172D">
        <w:rPr>
          <w:b/>
          <w:bCs/>
        </w:rPr>
        <w:t xml:space="preserve">Observation </w:t>
      </w:r>
      <w:r w:rsidRPr="00E8172D">
        <w:rPr>
          <w:b/>
          <w:bCs/>
        </w:rPr>
        <w:fldChar w:fldCharType="begin"/>
      </w:r>
      <w:r w:rsidRPr="00E8172D">
        <w:rPr>
          <w:b/>
          <w:bCs/>
        </w:rPr>
        <w:instrText xml:space="preserve"> SEQ Observation \* ARABIC </w:instrText>
      </w:r>
      <w:r w:rsidRPr="00E8172D">
        <w:rPr>
          <w:b/>
          <w:bCs/>
        </w:rPr>
        <w:fldChar w:fldCharType="separate"/>
      </w:r>
      <w:r w:rsidR="000647D5" w:rsidRPr="00E8172D">
        <w:rPr>
          <w:b/>
          <w:bCs/>
          <w:noProof/>
        </w:rPr>
        <w:t>1</w:t>
      </w:r>
      <w:r w:rsidRPr="00E8172D">
        <w:rPr>
          <w:b/>
          <w:bCs/>
        </w:rPr>
        <w:fldChar w:fldCharType="end"/>
      </w:r>
      <w:r w:rsidRPr="00E8172D">
        <w:rPr>
          <w:b/>
          <w:bCs/>
        </w:rPr>
        <w:t>.</w:t>
      </w:r>
      <w:r w:rsidRPr="00E8172D">
        <w:t xml:space="preserve"> Out-of-band blocking requirements are paired with spurious response requirements.</w:t>
      </w:r>
      <w:bookmarkEnd w:id="3"/>
    </w:p>
    <w:p w14:paraId="450273F1" w14:textId="77777777" w:rsidR="00313074" w:rsidRDefault="00313074" w:rsidP="001726C2"/>
    <w:p w14:paraId="7AB01C6F" w14:textId="77777777" w:rsidR="00E8172D" w:rsidRDefault="006D30AC" w:rsidP="00E8172D">
      <w:r>
        <w:t>For that reason, in spurious</w:t>
      </w:r>
      <w:r w:rsidR="00060D7D">
        <w:t xml:space="preserve"> response</w:t>
      </w:r>
      <w:r>
        <w:t xml:space="preserve"> test cases definition in </w:t>
      </w:r>
      <w:r w:rsidR="00060D7D">
        <w:fldChar w:fldCharType="begin"/>
      </w:r>
      <w:r w:rsidR="00060D7D">
        <w:instrText xml:space="preserve"> REF _Ref164935831 \r \h </w:instrText>
      </w:r>
      <w:r w:rsidR="00060D7D">
        <w:fldChar w:fldCharType="separate"/>
      </w:r>
      <w:r w:rsidR="000647D5">
        <w:t>[2]</w:t>
      </w:r>
      <w:r w:rsidR="00060D7D">
        <w:fldChar w:fldCharType="end"/>
      </w:r>
      <w:r w:rsidR="00060D7D">
        <w:t xml:space="preserve">, test results of </w:t>
      </w:r>
      <w:r w:rsidR="0031353F">
        <w:t>Out-of-band</w:t>
      </w:r>
      <w:r w:rsidR="00060D7D">
        <w:t xml:space="preserve"> blocking test case are referred because only the failing frequencies are retested under spurious response requirements.</w:t>
      </w:r>
      <w:bookmarkStart w:id="4" w:name="_Ref164944265"/>
    </w:p>
    <w:p w14:paraId="7CC261F1" w14:textId="6E602D20" w:rsidR="00E71CDE" w:rsidRPr="00E8172D" w:rsidRDefault="00E71CDE" w:rsidP="00E8172D">
      <w:r w:rsidRPr="00E8172D">
        <w:rPr>
          <w:b/>
          <w:bCs/>
        </w:rPr>
        <w:t xml:space="preserve">Observation </w:t>
      </w:r>
      <w:r w:rsidRPr="00E8172D">
        <w:rPr>
          <w:b/>
          <w:bCs/>
        </w:rPr>
        <w:fldChar w:fldCharType="begin"/>
      </w:r>
      <w:r w:rsidRPr="00E8172D">
        <w:rPr>
          <w:b/>
          <w:bCs/>
        </w:rPr>
        <w:instrText xml:space="preserve"> SEQ Observation \* ARABIC </w:instrText>
      </w:r>
      <w:r w:rsidRPr="00E8172D">
        <w:rPr>
          <w:b/>
          <w:bCs/>
        </w:rPr>
        <w:fldChar w:fldCharType="separate"/>
      </w:r>
      <w:r w:rsidR="000647D5" w:rsidRPr="00E8172D">
        <w:rPr>
          <w:b/>
          <w:bCs/>
          <w:noProof/>
        </w:rPr>
        <w:t>2</w:t>
      </w:r>
      <w:r w:rsidRPr="00E8172D">
        <w:rPr>
          <w:b/>
          <w:bCs/>
        </w:rPr>
        <w:fldChar w:fldCharType="end"/>
      </w:r>
      <w:r w:rsidRPr="00E8172D">
        <w:rPr>
          <w:b/>
          <w:bCs/>
        </w:rPr>
        <w:t>.</w:t>
      </w:r>
      <w:r w:rsidRPr="00E8172D">
        <w:t xml:space="preserve"> Spurious response test cases are limited to test frequencies for which the UE does not satisfy the out-of-band blocking requirements.</w:t>
      </w:r>
      <w:bookmarkEnd w:id="4"/>
    </w:p>
    <w:p w14:paraId="4DEF9F62" w14:textId="77777777" w:rsidR="00E71CDE" w:rsidRDefault="00E71CDE" w:rsidP="001726C2"/>
    <w:p w14:paraId="587CDE9A" w14:textId="307BB3C9" w:rsidR="00060D7D" w:rsidRDefault="00060D7D" w:rsidP="001726C2">
      <w:r>
        <w:t xml:space="preserve">There are multiple </w:t>
      </w:r>
      <w:r w:rsidR="0031353F">
        <w:t>Out-of-band</w:t>
      </w:r>
      <w:r>
        <w:t xml:space="preserve"> blocking test cases and subsections under section 7.6 in both </w:t>
      </w:r>
      <w:r>
        <w:fldChar w:fldCharType="begin"/>
      </w:r>
      <w:r>
        <w:instrText xml:space="preserve"> REF _Ref164935816 \r \h </w:instrText>
      </w:r>
      <w:r>
        <w:fldChar w:fldCharType="separate"/>
      </w:r>
      <w:r w:rsidR="000647D5">
        <w:t>[1]</w:t>
      </w:r>
      <w:r>
        <w:fldChar w:fldCharType="end"/>
      </w:r>
      <w:r>
        <w:t xml:space="preserve"> and </w:t>
      </w:r>
      <w:r>
        <w:fldChar w:fldCharType="begin"/>
      </w:r>
      <w:r>
        <w:instrText xml:space="preserve"> REF _Ref164935831 \r \h </w:instrText>
      </w:r>
      <w:r>
        <w:fldChar w:fldCharType="separate"/>
      </w:r>
      <w:r w:rsidR="000647D5">
        <w:t>[2]</w:t>
      </w:r>
      <w:r>
        <w:fldChar w:fldCharType="end"/>
      </w:r>
      <w:r>
        <w:t>, depending on the UE capabilities and features under test: UL MIMO, CA, V2X, SUL, … . However, in case of spurious response test cases that is also true except for SUL.</w:t>
      </w:r>
    </w:p>
    <w:p w14:paraId="1B11B54B" w14:textId="34D4B4D1" w:rsidR="00E71CDE" w:rsidRDefault="00E71CDE" w:rsidP="00E71CDE">
      <w:bookmarkStart w:id="5" w:name="_Ref164944266"/>
      <w:r w:rsidRPr="009B6105">
        <w:rPr>
          <w:b/>
          <w:bCs/>
        </w:rPr>
        <w:t xml:space="preserve">Observation </w:t>
      </w:r>
      <w:r w:rsidRPr="009B6105">
        <w:rPr>
          <w:b/>
          <w:bCs/>
        </w:rPr>
        <w:fldChar w:fldCharType="begin"/>
      </w:r>
      <w:r w:rsidRPr="009B6105">
        <w:rPr>
          <w:b/>
          <w:bCs/>
        </w:rPr>
        <w:instrText xml:space="preserve"> SEQ Observation \* ARABIC </w:instrText>
      </w:r>
      <w:r w:rsidRPr="009B6105">
        <w:rPr>
          <w:b/>
          <w:bCs/>
        </w:rPr>
        <w:fldChar w:fldCharType="separate"/>
      </w:r>
      <w:r w:rsidR="000647D5">
        <w:rPr>
          <w:b/>
          <w:bCs/>
          <w:noProof/>
        </w:rPr>
        <w:t>3</w:t>
      </w:r>
      <w:r w:rsidRPr="009B6105">
        <w:rPr>
          <w:b/>
          <w:bCs/>
        </w:rPr>
        <w:fldChar w:fldCharType="end"/>
      </w:r>
      <w:r w:rsidRPr="009B6105">
        <w:rPr>
          <w:b/>
          <w:bCs/>
        </w:rPr>
        <w:t>.</w:t>
      </w:r>
      <w:r>
        <w:t xml:space="preserve"> There are multiple Out-of-band blocking test cases and spurious response test cases depending on the UE capabilities and features under test: UL MIMO, CA, V2X, SUL, …</w:t>
      </w:r>
      <w:bookmarkEnd w:id="5"/>
    </w:p>
    <w:p w14:paraId="4A964562" w14:textId="77777777" w:rsidR="00856108" w:rsidRDefault="00856108" w:rsidP="001726C2"/>
    <w:p w14:paraId="72CC03B9" w14:textId="2438FB5E" w:rsidR="00060D7D" w:rsidRDefault="00060D7D" w:rsidP="001726C2">
      <w:r>
        <w:t xml:space="preserve">The reason why there is no specific spurious response subsection 7.7C in core specs TS 38.101-1 </w:t>
      </w:r>
      <w:r>
        <w:fldChar w:fldCharType="begin"/>
      </w:r>
      <w:r>
        <w:instrText xml:space="preserve"> REF _Ref164935816 \r \h </w:instrText>
      </w:r>
      <w:r>
        <w:fldChar w:fldCharType="separate"/>
      </w:r>
      <w:r w:rsidR="000647D5">
        <w:t>[1]</w:t>
      </w:r>
      <w:r>
        <w:fldChar w:fldCharType="end"/>
      </w:r>
      <w:r>
        <w:t xml:space="preserve"> is because it does not need different requirements than those already defined in section 7.7 and for that reason, requirements defined for </w:t>
      </w:r>
      <w:r w:rsidR="0031353F">
        <w:t>Out-of-band</w:t>
      </w:r>
      <w:r>
        <w:t xml:space="preserve"> blocking for SUL in section 7.6C.3 directly point to section 7.7</w:t>
      </w:r>
      <w:r w:rsidR="0031353F">
        <w:t>:</w:t>
      </w:r>
    </w:p>
    <w:tbl>
      <w:tblPr>
        <w:tblStyle w:val="TableGrid"/>
        <w:tblW w:w="0" w:type="auto"/>
        <w:shd w:val="clear" w:color="auto" w:fill="F2F2F2" w:themeFill="background1" w:themeFillShade="F2"/>
        <w:tblLook w:val="04A0" w:firstRow="1" w:lastRow="0" w:firstColumn="1" w:lastColumn="0" w:noHBand="0" w:noVBand="1"/>
      </w:tblPr>
      <w:tblGrid>
        <w:gridCol w:w="9631"/>
      </w:tblGrid>
      <w:tr w:rsidR="00C56FAF" w14:paraId="75FBE1A2" w14:textId="77777777" w:rsidTr="00C56FAF">
        <w:tc>
          <w:tcPr>
            <w:tcW w:w="9631" w:type="dxa"/>
            <w:shd w:val="clear" w:color="auto" w:fill="F2F2F2" w:themeFill="background1" w:themeFillShade="F2"/>
          </w:tcPr>
          <w:p w14:paraId="12E7A1EA" w14:textId="77777777" w:rsidR="00C56FAF" w:rsidRPr="00A1115A" w:rsidRDefault="00C56FAF" w:rsidP="00C56FAF">
            <w:r w:rsidRPr="00A1115A">
              <w:t>For all interferer frequency ranges specified in clause 7.6.3 a maximum of</w:t>
            </w:r>
          </w:p>
          <w:p w14:paraId="5B3B3F9C" w14:textId="77777777" w:rsidR="00C56FAF" w:rsidRPr="00A1115A" w:rsidRDefault="00C56FAF" w:rsidP="00C56FAF">
            <w:pPr>
              <w:pStyle w:val="EQ"/>
              <w:jc w:val="center"/>
            </w:pPr>
            <w:r w:rsidRPr="00A1115A">
              <w:rPr>
                <w:rFonts w:eastAsia="Osaka"/>
              </w:rPr>
              <w:object w:dxaOrig="4440" w:dyaOrig="360" w14:anchorId="79E11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65pt;height:10pt;mso-width-percent:0;mso-height-percent:0;mso-width-percent:0;mso-height-percent:0" o:ole="">
                  <v:imagedata r:id="rId12" o:title=""/>
                </v:shape>
                <o:OLEObject Type="Embed" ProgID="Equation.3" ShapeID="_x0000_i1025" DrawAspect="Content" ObjectID="_1776599365" r:id="rId13"/>
              </w:object>
            </w:r>
          </w:p>
          <w:p w14:paraId="4703C07A" w14:textId="0B0426F5" w:rsidR="00C56FAF" w:rsidRDefault="00C56FAF" w:rsidP="00C56FAF">
            <w:r w:rsidRPr="00A1115A">
              <w:t xml:space="preserve">exceptions are allowed for spurious response frequencies in each assigned frequency channel when measured using a step size of </w:t>
            </w:r>
            <w:r w:rsidRPr="00A1115A">
              <w:rPr>
                <w:position w:val="-10"/>
              </w:rPr>
              <w:object w:dxaOrig="1920" w:dyaOrig="319" w14:anchorId="4AAE11A4">
                <v:shape id="_x0000_i1026" type="#_x0000_t75" style="width:98pt;height:21.35pt;mso-wrap-style:square;mso-position-horizontal-relative:page;mso-position-vertical-relative:page" o:ole="">
                  <v:imagedata r:id="rId14" o:title=""/>
                </v:shape>
                <o:OLEObject Type="Embed" ProgID="Equation.3" ShapeID="_x0000_i1026" DrawAspect="Content" ObjectID="_1776599366" r:id="rId15">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r w:rsidRPr="00A1115A">
              <w:rPr>
                <w:rFonts w:cs="Arial"/>
                <w:vertAlign w:val="subscript"/>
              </w:rPr>
              <w:t>hannel</w:t>
            </w:r>
            <w:r w:rsidRPr="00A1115A">
              <w:t xml:space="preserve"> the bandwidth of the frequency channel in MHz and </w:t>
            </w:r>
            <w:r w:rsidRPr="00A1115A">
              <w:rPr>
                <w:i/>
              </w:rPr>
              <w:t>n</w:t>
            </w:r>
            <w:r w:rsidRPr="00A1115A">
              <w:t xml:space="preserve"> = 1, 2, 3 for SCS = 15, 30, 60 kHz, respectively. For these exceptions, the </w:t>
            </w:r>
            <w:r w:rsidRPr="00C56FAF">
              <w:rPr>
                <w:highlight w:val="cyan"/>
              </w:rPr>
              <w:t>requirements in clause 7.7 apply</w:t>
            </w:r>
            <w:r w:rsidRPr="00A1115A">
              <w:t>.</w:t>
            </w:r>
          </w:p>
        </w:tc>
      </w:tr>
    </w:tbl>
    <w:p w14:paraId="110776CA" w14:textId="77777777" w:rsidR="0031353F" w:rsidRDefault="0031353F" w:rsidP="001726C2"/>
    <w:p w14:paraId="17E23B14" w14:textId="709CDAC4" w:rsidR="00C56FAF" w:rsidRDefault="00C56FAF" w:rsidP="001726C2">
      <w:r>
        <w:lastRenderedPageBreak/>
        <w:t xml:space="preserve">Not existing an specific section 7.7C in core specs TS 38.101-1 </w:t>
      </w:r>
      <w:r>
        <w:fldChar w:fldCharType="begin"/>
      </w:r>
      <w:r>
        <w:instrText xml:space="preserve"> REF _Ref164935816 \r \h </w:instrText>
      </w:r>
      <w:r>
        <w:fldChar w:fldCharType="separate"/>
      </w:r>
      <w:r w:rsidR="000647D5">
        <w:t>[1]</w:t>
      </w:r>
      <w:r>
        <w:fldChar w:fldCharType="end"/>
      </w:r>
      <w:r>
        <w:t xml:space="preserve"> is probably the reason </w:t>
      </w:r>
      <w:r w:rsidR="002E72D9">
        <w:t>why test case 7.7C was never listed in Rel-15</w:t>
      </w:r>
      <w:r w:rsidR="00207F1C">
        <w:t xml:space="preserve"> WP of</w:t>
      </w:r>
      <w:r w:rsidR="002E72D9">
        <w:t xml:space="preserve"> WI </w:t>
      </w:r>
      <w:r w:rsidR="002E72D9" w:rsidRPr="00927FBA">
        <w:t>5GS_NR_LTE-UEConTest</w:t>
      </w:r>
      <w:r w:rsidR="002E72D9">
        <w:t xml:space="preserve"> for TS 38.521-1 </w:t>
      </w:r>
      <w:r w:rsidR="002E72D9">
        <w:fldChar w:fldCharType="begin"/>
      </w:r>
      <w:r w:rsidR="002E72D9">
        <w:instrText xml:space="preserve"> REF _Ref164935831 \r \h </w:instrText>
      </w:r>
      <w:r w:rsidR="002E72D9">
        <w:fldChar w:fldCharType="separate"/>
      </w:r>
      <w:r w:rsidR="000647D5">
        <w:t>[2]</w:t>
      </w:r>
      <w:r w:rsidR="002E72D9">
        <w:fldChar w:fldCharType="end"/>
      </w:r>
      <w:r w:rsidR="002E72D9">
        <w:t>.</w:t>
      </w:r>
    </w:p>
    <w:p w14:paraId="630A3722" w14:textId="77777777" w:rsidR="00566412" w:rsidRDefault="00566412" w:rsidP="00566412">
      <w:bookmarkStart w:id="6" w:name="_Ref164944267"/>
      <w:r w:rsidRPr="009B6105">
        <w:rPr>
          <w:b/>
          <w:bCs/>
        </w:rPr>
        <w:t xml:space="preserve">Observation </w:t>
      </w:r>
      <w:r w:rsidRPr="009B6105">
        <w:rPr>
          <w:b/>
          <w:bCs/>
        </w:rPr>
        <w:fldChar w:fldCharType="begin"/>
      </w:r>
      <w:r w:rsidRPr="009B6105">
        <w:rPr>
          <w:b/>
          <w:bCs/>
        </w:rPr>
        <w:instrText xml:space="preserve"> SEQ Observation \* ARABIC </w:instrText>
      </w:r>
      <w:r w:rsidRPr="009B6105">
        <w:rPr>
          <w:b/>
          <w:bCs/>
        </w:rPr>
        <w:fldChar w:fldCharType="separate"/>
      </w:r>
      <w:r>
        <w:rPr>
          <w:b/>
          <w:bCs/>
          <w:noProof/>
        </w:rPr>
        <w:t>4</w:t>
      </w:r>
      <w:r w:rsidRPr="009B6105">
        <w:rPr>
          <w:b/>
          <w:bCs/>
        </w:rPr>
        <w:fldChar w:fldCharType="end"/>
      </w:r>
      <w:r w:rsidRPr="009B6105">
        <w:rPr>
          <w:b/>
          <w:bCs/>
        </w:rPr>
        <w:t>.</w:t>
      </w:r>
      <w:r>
        <w:t xml:space="preserve"> Only in case of SUL there is no specific spurious response test case 7.7C to correspond out-of-band blocking test case for SUL 7.6C.3, probably just because in core specs TS 38.101-1 </w:t>
      </w:r>
      <w:r>
        <w:fldChar w:fldCharType="begin"/>
      </w:r>
      <w:r>
        <w:instrText xml:space="preserve"> REF _Ref164935816 \r \h </w:instrText>
      </w:r>
      <w:r>
        <w:fldChar w:fldCharType="separate"/>
      </w:r>
      <w:r>
        <w:t>[1]</w:t>
      </w:r>
      <w:r>
        <w:fldChar w:fldCharType="end"/>
      </w:r>
      <w:r>
        <w:t xml:space="preserve"> there is no need to have a specific section 7.7C because requirements in section 7.7 apply.</w:t>
      </w:r>
      <w:bookmarkEnd w:id="6"/>
    </w:p>
    <w:p w14:paraId="65525CC3" w14:textId="77777777" w:rsidR="00566412" w:rsidRDefault="00566412" w:rsidP="001726C2"/>
    <w:p w14:paraId="6688C799" w14:textId="48BDEE66" w:rsidR="002E72D9" w:rsidRDefault="002E72D9" w:rsidP="001726C2">
      <w:r>
        <w:t xml:space="preserve">Current spurious response test case 7.7 in </w:t>
      </w:r>
      <w:r>
        <w:fldChar w:fldCharType="begin"/>
      </w:r>
      <w:r>
        <w:instrText xml:space="preserve"> REF _Ref164935831 \r \h </w:instrText>
      </w:r>
      <w:r>
        <w:fldChar w:fldCharType="separate"/>
      </w:r>
      <w:r w:rsidR="000647D5">
        <w:t>[2]</w:t>
      </w:r>
      <w:r>
        <w:fldChar w:fldCharType="end"/>
      </w:r>
      <w:r>
        <w:t xml:space="preserve"> is paired with out-of-band blocking test case</w:t>
      </w:r>
      <w:r w:rsidR="00856108">
        <w:t xml:space="preserve"> 7.6.3 in </w:t>
      </w:r>
      <w:r w:rsidR="00856108">
        <w:fldChar w:fldCharType="begin"/>
      </w:r>
      <w:r w:rsidR="00856108">
        <w:instrText xml:space="preserve"> REF _Ref164935831 \r \h </w:instrText>
      </w:r>
      <w:r w:rsidR="00856108">
        <w:fldChar w:fldCharType="separate"/>
      </w:r>
      <w:r w:rsidR="000647D5">
        <w:t>[2]</w:t>
      </w:r>
      <w:r w:rsidR="00856108">
        <w:fldChar w:fldCharType="end"/>
      </w:r>
      <w:r w:rsidR="00856108">
        <w:t xml:space="preserve">. Applicability of 7.6.3 test case in different </w:t>
      </w:r>
      <w:r w:rsidR="00EB5C08">
        <w:t>to</w:t>
      </w:r>
      <w:r w:rsidR="00856108">
        <w:t xml:space="preserve"> applicability of 7.6C.3 </w:t>
      </w:r>
      <w:r w:rsidR="005B388F">
        <w:t>and so</w:t>
      </w:r>
      <w:r w:rsidR="00856108">
        <w:t xml:space="preserve"> the bands to be tested because 7.6C.3</w:t>
      </w:r>
      <w:r w:rsidR="00B34323">
        <w:t xml:space="preserve"> is </w:t>
      </w:r>
      <w:r w:rsidR="00615F1B">
        <w:t xml:space="preserve">limited to test SUL band </w:t>
      </w:r>
      <w:r w:rsidR="00606493">
        <w:t>combinations.</w:t>
      </w:r>
      <w:r w:rsidR="00856108">
        <w:t xml:space="preserve"> Therefore, test case 7.7 cannot be paired with test case 7.6.C.3</w:t>
      </w:r>
      <w:r w:rsidR="009C79F2">
        <w:t xml:space="preserve"> in TS 38.521-1 </w:t>
      </w:r>
      <w:r w:rsidR="009C79F2">
        <w:fldChar w:fldCharType="begin"/>
      </w:r>
      <w:r w:rsidR="009C79F2">
        <w:instrText xml:space="preserve"> REF _Ref164935831 \r \h </w:instrText>
      </w:r>
      <w:r w:rsidR="009C79F2">
        <w:fldChar w:fldCharType="separate"/>
      </w:r>
      <w:r w:rsidR="009C79F2">
        <w:t>[2]</w:t>
      </w:r>
      <w:r w:rsidR="009C79F2">
        <w:fldChar w:fldCharType="end"/>
      </w:r>
      <w:r w:rsidR="00856108">
        <w:t>.</w:t>
      </w:r>
    </w:p>
    <w:p w14:paraId="00B48919" w14:textId="67D49506" w:rsidR="000E5F6D" w:rsidRDefault="000E5F6D" w:rsidP="000E5F6D">
      <w:bookmarkStart w:id="7" w:name="_Ref164944268"/>
      <w:r w:rsidRPr="009B6105">
        <w:rPr>
          <w:b/>
          <w:bCs/>
        </w:rPr>
        <w:t xml:space="preserve">Observation </w:t>
      </w:r>
      <w:r w:rsidRPr="009B6105">
        <w:rPr>
          <w:b/>
          <w:bCs/>
        </w:rPr>
        <w:fldChar w:fldCharType="begin"/>
      </w:r>
      <w:r w:rsidRPr="009B6105">
        <w:rPr>
          <w:b/>
          <w:bCs/>
        </w:rPr>
        <w:instrText xml:space="preserve"> SEQ Observation \* ARABIC </w:instrText>
      </w:r>
      <w:r w:rsidRPr="009B6105">
        <w:rPr>
          <w:b/>
          <w:bCs/>
        </w:rPr>
        <w:fldChar w:fldCharType="separate"/>
      </w:r>
      <w:r w:rsidR="000647D5">
        <w:rPr>
          <w:b/>
          <w:bCs/>
          <w:noProof/>
        </w:rPr>
        <w:t>5</w:t>
      </w:r>
      <w:r w:rsidRPr="009B6105">
        <w:rPr>
          <w:b/>
          <w:bCs/>
        </w:rPr>
        <w:fldChar w:fldCharType="end"/>
      </w:r>
      <w:r w:rsidRPr="009B6105">
        <w:rPr>
          <w:b/>
          <w:bCs/>
        </w:rPr>
        <w:t>.</w:t>
      </w:r>
      <w:r>
        <w:t xml:space="preserve"> Due to applicability and frequencies under test, test case 7.7 in in TS 38.521-1 </w:t>
      </w:r>
      <w:r>
        <w:fldChar w:fldCharType="begin"/>
      </w:r>
      <w:r>
        <w:instrText xml:space="preserve"> REF _Ref164935831 \r \h </w:instrText>
      </w:r>
      <w:r>
        <w:fldChar w:fldCharType="separate"/>
      </w:r>
      <w:r w:rsidR="000647D5">
        <w:t>[2]</w:t>
      </w:r>
      <w:r>
        <w:fldChar w:fldCharType="end"/>
      </w:r>
      <w:r>
        <w:t xml:space="preserve"> cannot be directly used to test the frequencies indicated after a test case 7.6C.3 execution.</w:t>
      </w:r>
      <w:bookmarkEnd w:id="7"/>
    </w:p>
    <w:p w14:paraId="0AD65340" w14:textId="77777777" w:rsidR="000E5F6D" w:rsidRDefault="000E5F6D" w:rsidP="001726C2"/>
    <w:p w14:paraId="48BF8C77" w14:textId="7C4728C2" w:rsidR="00856108" w:rsidRDefault="00856108" w:rsidP="001726C2">
      <w:r>
        <w:t>Therefore, in order to test frequencies not satisfying the out-of-band blocking requirements in test case 7.6C.3, it is needed to define a specific spurious response for SUL test case</w:t>
      </w:r>
      <w:r w:rsidR="00313074">
        <w:t xml:space="preserve"> 7.7C</w:t>
      </w:r>
      <w:r>
        <w:t>, with same minimum requirements as defined for test case 7.7 but with same applicability as defined for test case 7.6C.3 and explicitly linked to test case 7.6C.3 execution and definition.</w:t>
      </w:r>
    </w:p>
    <w:p w14:paraId="3DAE099C" w14:textId="5D112E43" w:rsidR="00313074" w:rsidRDefault="00313074" w:rsidP="00313074">
      <w:pPr>
        <w:pStyle w:val="Caption"/>
        <w:rPr>
          <w:b w:val="0"/>
          <w:bCs/>
        </w:rPr>
      </w:pPr>
      <w:bookmarkStart w:id="8" w:name="_Ref164944269"/>
      <w:r>
        <w:t xml:space="preserve">Proposal </w:t>
      </w:r>
      <w:r>
        <w:fldChar w:fldCharType="begin"/>
      </w:r>
      <w:r>
        <w:instrText xml:space="preserve"> SEQ Proposal \* ARABIC </w:instrText>
      </w:r>
      <w:r>
        <w:fldChar w:fldCharType="separate"/>
      </w:r>
      <w:r w:rsidR="000647D5">
        <w:rPr>
          <w:noProof/>
        </w:rPr>
        <w:t>1</w:t>
      </w:r>
      <w:r>
        <w:fldChar w:fldCharType="end"/>
      </w:r>
      <w:r w:rsidRPr="007E6ED0">
        <w:rPr>
          <w:bCs/>
        </w:rPr>
        <w:t>.</w:t>
      </w:r>
      <w:r w:rsidRPr="007E6ED0">
        <w:t xml:space="preserve"> </w:t>
      </w:r>
      <w:r w:rsidRPr="00313074">
        <w:rPr>
          <w:b w:val="0"/>
          <w:bCs/>
        </w:rPr>
        <w:t>To define a specific spurious response for SUL test case 7.7C, with same minimum requirements as defined for test case 7.7 but with same applicability as defined for test case 7.6C.3 and explicitly linked to test case 7.6C.3 execution and definition.</w:t>
      </w:r>
      <w:bookmarkEnd w:id="8"/>
    </w:p>
    <w:p w14:paraId="43F5797D" w14:textId="190CF91D" w:rsidR="00F46E30" w:rsidRPr="00F46E30" w:rsidRDefault="00313074" w:rsidP="00C42EBF">
      <w:r>
        <w:t xml:space="preserve">Implementation according to Proposal 1 can be found in </w:t>
      </w:r>
      <w:r>
        <w:fldChar w:fldCharType="begin"/>
      </w:r>
      <w:r>
        <w:instrText xml:space="preserve"> REF _Ref164943999 \r \h </w:instrText>
      </w:r>
      <w:r>
        <w:fldChar w:fldCharType="separate"/>
      </w:r>
      <w:r w:rsidR="000647D5">
        <w:t>[3]</w:t>
      </w:r>
      <w:r>
        <w:fldChar w:fldCharType="end"/>
      </w:r>
      <w:r>
        <w:t>.</w:t>
      </w:r>
    </w:p>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29AFAB7A" w14:textId="0064F433" w:rsidR="005E3251" w:rsidRPr="005E3251" w:rsidRDefault="005E3251" w:rsidP="00F6267E">
      <w:r w:rsidRPr="005E3251">
        <w:fldChar w:fldCharType="begin"/>
      </w:r>
      <w:r w:rsidRPr="005E3251">
        <w:instrText xml:space="preserve"> REF _Ref164944264 \h  \* MERGEFORMAT </w:instrText>
      </w:r>
      <w:r w:rsidRPr="005E3251">
        <w:fldChar w:fldCharType="separate"/>
      </w:r>
      <w:r w:rsidR="000647D5" w:rsidRPr="000647D5">
        <w:rPr>
          <w:b/>
          <w:bCs/>
        </w:rPr>
        <w:t xml:space="preserve">Observation </w:t>
      </w:r>
      <w:r w:rsidR="000647D5" w:rsidRPr="000647D5">
        <w:rPr>
          <w:b/>
          <w:bCs/>
          <w:noProof/>
        </w:rPr>
        <w:t>1.</w:t>
      </w:r>
      <w:r w:rsidR="000647D5">
        <w:t xml:space="preserve"> </w:t>
      </w:r>
      <w:r w:rsidR="000647D5" w:rsidRPr="000647D5">
        <w:t>Out-of-band blocking requirements are paired with spurious response requirements.</w:t>
      </w:r>
      <w:r w:rsidRPr="005E3251">
        <w:fldChar w:fldCharType="end"/>
      </w:r>
    </w:p>
    <w:p w14:paraId="6C60A400" w14:textId="7C61F031" w:rsidR="005E3251" w:rsidRPr="005E3251" w:rsidRDefault="005E3251" w:rsidP="00F6267E">
      <w:r w:rsidRPr="005E3251">
        <w:fldChar w:fldCharType="begin"/>
      </w:r>
      <w:r w:rsidRPr="005E3251">
        <w:instrText xml:space="preserve"> REF _Ref164944265 \h  \* MERGEFORMAT </w:instrText>
      </w:r>
      <w:r w:rsidRPr="005E3251">
        <w:fldChar w:fldCharType="separate"/>
      </w:r>
      <w:r w:rsidR="000647D5" w:rsidRPr="000647D5">
        <w:rPr>
          <w:b/>
          <w:bCs/>
        </w:rPr>
        <w:t xml:space="preserve">Observation </w:t>
      </w:r>
      <w:r w:rsidR="000647D5" w:rsidRPr="000647D5">
        <w:rPr>
          <w:b/>
          <w:bCs/>
          <w:noProof/>
        </w:rPr>
        <w:t>2.</w:t>
      </w:r>
      <w:r w:rsidR="000647D5">
        <w:t xml:space="preserve"> </w:t>
      </w:r>
      <w:r w:rsidR="000647D5" w:rsidRPr="000647D5">
        <w:t>Spurious response test cases are limited to test frequencies for which the UE does not satisfy the out-of-band blocking requirements.</w:t>
      </w:r>
      <w:r w:rsidRPr="005E3251">
        <w:fldChar w:fldCharType="end"/>
      </w:r>
    </w:p>
    <w:p w14:paraId="244B97B4" w14:textId="56CEFF18" w:rsidR="005E3251" w:rsidRPr="005E3251" w:rsidRDefault="005E3251" w:rsidP="00F6267E">
      <w:r w:rsidRPr="005E3251">
        <w:fldChar w:fldCharType="begin"/>
      </w:r>
      <w:r w:rsidRPr="005E3251">
        <w:instrText xml:space="preserve"> REF _Ref164944266 \h  \* MERGEFORMAT </w:instrText>
      </w:r>
      <w:r w:rsidRPr="005E3251">
        <w:fldChar w:fldCharType="separate"/>
      </w:r>
      <w:r w:rsidR="000647D5" w:rsidRPr="009B6105">
        <w:rPr>
          <w:b/>
          <w:bCs/>
        </w:rPr>
        <w:t xml:space="preserve">Observation </w:t>
      </w:r>
      <w:r w:rsidR="000647D5">
        <w:rPr>
          <w:b/>
          <w:bCs/>
          <w:noProof/>
        </w:rPr>
        <w:t>3</w:t>
      </w:r>
      <w:r w:rsidR="000647D5" w:rsidRPr="009B6105">
        <w:rPr>
          <w:b/>
          <w:bCs/>
          <w:noProof/>
        </w:rPr>
        <w:t>.</w:t>
      </w:r>
      <w:r w:rsidR="000647D5">
        <w:t xml:space="preserve"> There are multiple Out-of-band blocking test cases and spurious response test cases depending on the UE capabilities and features under test: UL MIMO, CA, V2X, SUL, …</w:t>
      </w:r>
      <w:r w:rsidRPr="005E3251">
        <w:fldChar w:fldCharType="end"/>
      </w:r>
    </w:p>
    <w:p w14:paraId="5E369BD1" w14:textId="4C7F8675" w:rsidR="005E3251" w:rsidRPr="005E3251" w:rsidRDefault="005E3251" w:rsidP="00F6267E">
      <w:r w:rsidRPr="005E3251">
        <w:fldChar w:fldCharType="begin"/>
      </w:r>
      <w:r w:rsidRPr="005E3251">
        <w:instrText xml:space="preserve"> REF _Ref164944267 \h  \* MERGEFORMAT </w:instrText>
      </w:r>
      <w:r w:rsidRPr="005E3251">
        <w:fldChar w:fldCharType="separate"/>
      </w:r>
      <w:r w:rsidR="000647D5" w:rsidRPr="009B6105">
        <w:rPr>
          <w:b/>
          <w:bCs/>
        </w:rPr>
        <w:t xml:space="preserve">Observation </w:t>
      </w:r>
      <w:r w:rsidR="000647D5">
        <w:rPr>
          <w:b/>
          <w:bCs/>
          <w:noProof/>
        </w:rPr>
        <w:t>4</w:t>
      </w:r>
      <w:r w:rsidR="000647D5" w:rsidRPr="009B6105">
        <w:rPr>
          <w:b/>
          <w:bCs/>
          <w:noProof/>
        </w:rPr>
        <w:t>.</w:t>
      </w:r>
      <w:r w:rsidR="000647D5">
        <w:t xml:space="preserve"> Only in case of SUL there is no specific spurious response test case 7.7C to correspond out-of-band blocking test case for SUL 7.6C.3, probably just because in core specs TS 38.101-1 [1] there is no need to have a specific section 7.7C because requirements in section 7.7 apply.</w:t>
      </w:r>
      <w:r w:rsidRPr="005E3251">
        <w:fldChar w:fldCharType="end"/>
      </w:r>
    </w:p>
    <w:p w14:paraId="7BF2C48D" w14:textId="5C6C0D72" w:rsidR="005E3251" w:rsidRPr="005E3251" w:rsidRDefault="005E3251" w:rsidP="00F6267E">
      <w:r w:rsidRPr="005E3251">
        <w:fldChar w:fldCharType="begin"/>
      </w:r>
      <w:r w:rsidRPr="005E3251">
        <w:instrText xml:space="preserve"> REF _Ref164944268 \h  \* MERGEFORMAT </w:instrText>
      </w:r>
      <w:r w:rsidRPr="005E3251">
        <w:fldChar w:fldCharType="separate"/>
      </w:r>
      <w:r w:rsidR="000647D5" w:rsidRPr="009B6105">
        <w:rPr>
          <w:b/>
          <w:bCs/>
        </w:rPr>
        <w:t xml:space="preserve">Observation </w:t>
      </w:r>
      <w:r w:rsidR="000647D5">
        <w:rPr>
          <w:b/>
          <w:bCs/>
          <w:noProof/>
        </w:rPr>
        <w:t>5</w:t>
      </w:r>
      <w:r w:rsidR="000647D5" w:rsidRPr="009B6105">
        <w:rPr>
          <w:b/>
          <w:bCs/>
          <w:noProof/>
        </w:rPr>
        <w:t>.</w:t>
      </w:r>
      <w:r w:rsidR="000647D5">
        <w:t xml:space="preserve"> Due to applicability and frequencies under test, test case 7.7 in in TS 38.521-1 [2] cannot be directly used to test the frequencies indicated after a test case 7.6C.3 execution.</w:t>
      </w:r>
      <w:r w:rsidRPr="005E3251">
        <w:fldChar w:fldCharType="end"/>
      </w:r>
    </w:p>
    <w:p w14:paraId="2411B4F0" w14:textId="5E9247EF" w:rsidR="006A68BD" w:rsidRDefault="005E3251" w:rsidP="00F6267E">
      <w:r w:rsidRPr="005E3251">
        <w:fldChar w:fldCharType="begin"/>
      </w:r>
      <w:r w:rsidRPr="005E3251">
        <w:instrText xml:space="preserve"> REF _Ref164944269 \h  \* MERGEFORMAT </w:instrText>
      </w:r>
      <w:r w:rsidRPr="005E3251">
        <w:fldChar w:fldCharType="separate"/>
      </w:r>
      <w:r w:rsidR="000647D5" w:rsidRPr="000647D5">
        <w:rPr>
          <w:b/>
          <w:bCs/>
        </w:rPr>
        <w:t xml:space="preserve">Proposal </w:t>
      </w:r>
      <w:r w:rsidR="000647D5" w:rsidRPr="000647D5">
        <w:rPr>
          <w:b/>
          <w:bCs/>
          <w:noProof/>
        </w:rPr>
        <w:t>1.</w:t>
      </w:r>
      <w:r w:rsidR="000647D5" w:rsidRPr="007E6ED0">
        <w:t xml:space="preserve"> </w:t>
      </w:r>
      <w:r w:rsidR="000647D5" w:rsidRPr="000647D5">
        <w:t>To define a specific spurious response for SUL test case 7.7C, with same minimum requirements as defined for test case 7.7 but with same applicability as defined for test case 7.6C.3 and explicitly linked to test case 7.6C.3 execution and definition.</w:t>
      </w:r>
      <w:r w:rsidRPr="005E3251">
        <w:fldChar w:fldCharType="end"/>
      </w:r>
    </w:p>
    <w:p w14:paraId="5CCB1538" w14:textId="77777777" w:rsidR="00CB54AD" w:rsidRDefault="00CB54AD" w:rsidP="00CB54AD">
      <w:pPr>
        <w:pStyle w:val="Heading1"/>
        <w:numPr>
          <w:ilvl w:val="0"/>
          <w:numId w:val="42"/>
        </w:numPr>
        <w:ind w:left="360"/>
      </w:pPr>
      <w:r>
        <w:t>References</w:t>
      </w:r>
    </w:p>
    <w:p w14:paraId="54FA507B" w14:textId="2C123190" w:rsidR="00361F30" w:rsidRPr="004371B0" w:rsidRDefault="00361F30" w:rsidP="00361F30">
      <w:pPr>
        <w:numPr>
          <w:ilvl w:val="0"/>
          <w:numId w:val="5"/>
        </w:numPr>
        <w:tabs>
          <w:tab w:val="left" w:pos="426"/>
        </w:tabs>
        <w:overflowPunct w:val="0"/>
        <w:autoSpaceDE w:val="0"/>
        <w:autoSpaceDN w:val="0"/>
        <w:adjustRightInd w:val="0"/>
        <w:textAlignment w:val="baseline"/>
      </w:pPr>
      <w:bookmarkStart w:id="9" w:name="_Ref164935816"/>
      <w:r w:rsidRPr="004371B0">
        <w:rPr>
          <w:rFonts w:eastAsiaTheme="minorEastAsia"/>
        </w:rPr>
        <w:t>TS 38.</w:t>
      </w:r>
      <w:r w:rsidR="009C667C" w:rsidRPr="004371B0">
        <w:rPr>
          <w:rFonts w:eastAsiaTheme="minorEastAsia"/>
        </w:rPr>
        <w:t>10</w:t>
      </w:r>
      <w:r w:rsidRPr="004371B0">
        <w:rPr>
          <w:rFonts w:eastAsiaTheme="minorEastAsia"/>
        </w:rPr>
        <w:t>1-1, “</w:t>
      </w:r>
      <w:r w:rsidR="005A5FF9" w:rsidRPr="004371B0">
        <w:rPr>
          <w:rFonts w:eastAsiaTheme="minorEastAsia"/>
        </w:rPr>
        <w:t xml:space="preserve">User Equipment (UE) </w:t>
      </w:r>
      <w:r w:rsidRPr="004371B0">
        <w:rPr>
          <w:rFonts w:eastAsiaTheme="minorEastAsia"/>
        </w:rPr>
        <w:t>Radio transmission and reception; Part 1: Range 1 Standalone”, v18.</w:t>
      </w:r>
      <w:r w:rsidR="005A5FF9" w:rsidRPr="004371B0">
        <w:rPr>
          <w:rFonts w:eastAsiaTheme="minorEastAsia"/>
        </w:rPr>
        <w:t>5</w:t>
      </w:r>
      <w:r w:rsidRPr="004371B0">
        <w:rPr>
          <w:rFonts w:eastAsiaTheme="minorEastAsia"/>
        </w:rPr>
        <w:t>.0 (2024-03)</w:t>
      </w:r>
      <w:bookmarkEnd w:id="9"/>
    </w:p>
    <w:p w14:paraId="3044C335" w14:textId="16A1EE05" w:rsidR="003C69A5" w:rsidRPr="004371B0" w:rsidRDefault="003D472D" w:rsidP="00CB54AD">
      <w:pPr>
        <w:numPr>
          <w:ilvl w:val="0"/>
          <w:numId w:val="5"/>
        </w:numPr>
        <w:tabs>
          <w:tab w:val="left" w:pos="426"/>
        </w:tabs>
        <w:overflowPunct w:val="0"/>
        <w:autoSpaceDE w:val="0"/>
        <w:autoSpaceDN w:val="0"/>
        <w:adjustRightInd w:val="0"/>
        <w:textAlignment w:val="baseline"/>
      </w:pPr>
      <w:bookmarkStart w:id="10" w:name="_Ref164935831"/>
      <w:r w:rsidRPr="004371B0">
        <w:rPr>
          <w:rFonts w:eastAsiaTheme="minorEastAsia"/>
        </w:rPr>
        <w:t>TS 38.521-1, “User Equipment (UE) conformance specification; Radio transmission and reception; Part 1: Range 1 Standalone”, v1</w:t>
      </w:r>
      <w:r w:rsidR="00361F30" w:rsidRPr="004371B0">
        <w:rPr>
          <w:rFonts w:eastAsiaTheme="minorEastAsia"/>
        </w:rPr>
        <w:t>8</w:t>
      </w:r>
      <w:r w:rsidRPr="004371B0">
        <w:rPr>
          <w:rFonts w:eastAsiaTheme="minorEastAsia"/>
        </w:rPr>
        <w:t>.</w:t>
      </w:r>
      <w:r w:rsidR="00361F30" w:rsidRPr="004371B0">
        <w:rPr>
          <w:rFonts w:eastAsiaTheme="minorEastAsia"/>
        </w:rPr>
        <w:t>2</w:t>
      </w:r>
      <w:r w:rsidRPr="004371B0">
        <w:rPr>
          <w:rFonts w:eastAsiaTheme="minorEastAsia"/>
        </w:rPr>
        <w:t>.0 (202</w:t>
      </w:r>
      <w:r w:rsidR="00361F30" w:rsidRPr="004371B0">
        <w:rPr>
          <w:rFonts w:eastAsiaTheme="minorEastAsia"/>
        </w:rPr>
        <w:t>4</w:t>
      </w:r>
      <w:r w:rsidRPr="004371B0">
        <w:rPr>
          <w:rFonts w:eastAsiaTheme="minorEastAsia"/>
        </w:rPr>
        <w:t>-0</w:t>
      </w:r>
      <w:r w:rsidR="00361F30" w:rsidRPr="004371B0">
        <w:rPr>
          <w:rFonts w:eastAsiaTheme="minorEastAsia"/>
        </w:rPr>
        <w:t>3</w:t>
      </w:r>
      <w:r w:rsidRPr="004371B0">
        <w:rPr>
          <w:rFonts w:eastAsiaTheme="minorEastAsia"/>
        </w:rPr>
        <w:t>)</w:t>
      </w:r>
      <w:bookmarkEnd w:id="10"/>
    </w:p>
    <w:p w14:paraId="66639D99" w14:textId="0E18E506" w:rsidR="00361F30" w:rsidRPr="00354167" w:rsidRDefault="005340C3" w:rsidP="00FA60EB">
      <w:pPr>
        <w:numPr>
          <w:ilvl w:val="0"/>
          <w:numId w:val="5"/>
        </w:numPr>
        <w:tabs>
          <w:tab w:val="left" w:pos="426"/>
        </w:tabs>
        <w:overflowPunct w:val="0"/>
        <w:autoSpaceDE w:val="0"/>
        <w:autoSpaceDN w:val="0"/>
        <w:adjustRightInd w:val="0"/>
        <w:textAlignment w:val="baseline"/>
      </w:pPr>
      <w:bookmarkStart w:id="11" w:name="_Ref124155470"/>
      <w:bookmarkStart w:id="12" w:name="_Ref164943999"/>
      <w:r w:rsidRPr="005340C3">
        <w:t>R5-242517</w:t>
      </w:r>
      <w:r w:rsidR="00FE1983">
        <w:t>, “</w:t>
      </w:r>
      <w:r w:rsidR="001726C2" w:rsidRPr="001726C2">
        <w:t>Introduction of new SUL test case 7.7C</w:t>
      </w:r>
      <w:r w:rsidR="00FE1983" w:rsidRPr="001726C2">
        <w:t>”, Keysight,</w:t>
      </w:r>
      <w:r w:rsidR="00FE1983">
        <w:t xml:space="preserve"> RAN5#</w:t>
      </w:r>
      <w:bookmarkEnd w:id="11"/>
      <w:r w:rsidR="00FE1983">
        <w:t>103</w:t>
      </w:r>
      <w:bookmarkEnd w:id="12"/>
    </w:p>
    <w:sectPr w:rsidR="00361F30"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1DA4" w14:textId="77777777" w:rsidR="00CF23C2" w:rsidRDefault="00CF23C2">
      <w:r>
        <w:separator/>
      </w:r>
    </w:p>
  </w:endnote>
  <w:endnote w:type="continuationSeparator" w:id="0">
    <w:p w14:paraId="3B64CED8" w14:textId="77777777" w:rsidR="00CF23C2" w:rsidRDefault="00CF23C2">
      <w:r>
        <w:continuationSeparator/>
      </w:r>
    </w:p>
  </w:endnote>
  <w:endnote w:type="continuationNotice" w:id="1">
    <w:p w14:paraId="70AD22E5" w14:textId="77777777" w:rsidR="00CF23C2" w:rsidRDefault="00CF2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3443" w14:textId="77777777" w:rsidR="00CF23C2" w:rsidRDefault="00CF23C2">
      <w:r>
        <w:separator/>
      </w:r>
    </w:p>
  </w:footnote>
  <w:footnote w:type="continuationSeparator" w:id="0">
    <w:p w14:paraId="74439B6C" w14:textId="77777777" w:rsidR="00CF23C2" w:rsidRDefault="00CF23C2">
      <w:r>
        <w:continuationSeparator/>
      </w:r>
    </w:p>
  </w:footnote>
  <w:footnote w:type="continuationNotice" w:id="1">
    <w:p w14:paraId="1F6F34DF" w14:textId="77777777" w:rsidR="00CF23C2" w:rsidRDefault="00CF23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1A10"/>
    <w:rsid w:val="000439E6"/>
    <w:rsid w:val="0004477C"/>
    <w:rsid w:val="0004678D"/>
    <w:rsid w:val="00052390"/>
    <w:rsid w:val="000547AB"/>
    <w:rsid w:val="0005509D"/>
    <w:rsid w:val="00055873"/>
    <w:rsid w:val="00056560"/>
    <w:rsid w:val="0005725C"/>
    <w:rsid w:val="000606FD"/>
    <w:rsid w:val="00060D7D"/>
    <w:rsid w:val="00064500"/>
    <w:rsid w:val="000647D5"/>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24A4"/>
    <w:rsid w:val="000E5F6D"/>
    <w:rsid w:val="00102BA0"/>
    <w:rsid w:val="00110A88"/>
    <w:rsid w:val="00111826"/>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26C2"/>
    <w:rsid w:val="001741AE"/>
    <w:rsid w:val="001758FB"/>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1C"/>
    <w:rsid w:val="00207F74"/>
    <w:rsid w:val="00210D55"/>
    <w:rsid w:val="0021155C"/>
    <w:rsid w:val="00212373"/>
    <w:rsid w:val="002138EA"/>
    <w:rsid w:val="00214FBD"/>
    <w:rsid w:val="00222897"/>
    <w:rsid w:val="002235E1"/>
    <w:rsid w:val="0022419C"/>
    <w:rsid w:val="00234D1C"/>
    <w:rsid w:val="00234ECB"/>
    <w:rsid w:val="00235394"/>
    <w:rsid w:val="00235813"/>
    <w:rsid w:val="00236683"/>
    <w:rsid w:val="0023752C"/>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E72D9"/>
    <w:rsid w:val="002F4093"/>
    <w:rsid w:val="002F47E3"/>
    <w:rsid w:val="002F5FAD"/>
    <w:rsid w:val="00300544"/>
    <w:rsid w:val="003045CD"/>
    <w:rsid w:val="00306D8E"/>
    <w:rsid w:val="00307D2C"/>
    <w:rsid w:val="00313074"/>
    <w:rsid w:val="00313528"/>
    <w:rsid w:val="0031353F"/>
    <w:rsid w:val="00316602"/>
    <w:rsid w:val="003209E5"/>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1F30"/>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A43DA"/>
    <w:rsid w:val="003B1087"/>
    <w:rsid w:val="003B1AA0"/>
    <w:rsid w:val="003B3A89"/>
    <w:rsid w:val="003B478A"/>
    <w:rsid w:val="003B5AB0"/>
    <w:rsid w:val="003B7F37"/>
    <w:rsid w:val="003C4291"/>
    <w:rsid w:val="003C47CE"/>
    <w:rsid w:val="003C5232"/>
    <w:rsid w:val="003C69A5"/>
    <w:rsid w:val="003D1D54"/>
    <w:rsid w:val="003D2C79"/>
    <w:rsid w:val="003D472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725E"/>
    <w:rsid w:val="00413C3E"/>
    <w:rsid w:val="00413C6C"/>
    <w:rsid w:val="0041477A"/>
    <w:rsid w:val="00417068"/>
    <w:rsid w:val="004204BB"/>
    <w:rsid w:val="00420AD5"/>
    <w:rsid w:val="00426356"/>
    <w:rsid w:val="00427B4E"/>
    <w:rsid w:val="00431287"/>
    <w:rsid w:val="004371B0"/>
    <w:rsid w:val="004420B4"/>
    <w:rsid w:val="00444225"/>
    <w:rsid w:val="00444E37"/>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4CE8"/>
    <w:rsid w:val="00526FA7"/>
    <w:rsid w:val="005340C3"/>
    <w:rsid w:val="0053435C"/>
    <w:rsid w:val="00534F8F"/>
    <w:rsid w:val="00541EB9"/>
    <w:rsid w:val="00542587"/>
    <w:rsid w:val="00543311"/>
    <w:rsid w:val="00546367"/>
    <w:rsid w:val="005464FE"/>
    <w:rsid w:val="005471FE"/>
    <w:rsid w:val="00547986"/>
    <w:rsid w:val="00554A16"/>
    <w:rsid w:val="005550DD"/>
    <w:rsid w:val="00555741"/>
    <w:rsid w:val="005603F5"/>
    <w:rsid w:val="005649A1"/>
    <w:rsid w:val="00566412"/>
    <w:rsid w:val="00566838"/>
    <w:rsid w:val="00580542"/>
    <w:rsid w:val="00580587"/>
    <w:rsid w:val="00581E88"/>
    <w:rsid w:val="00583627"/>
    <w:rsid w:val="0058392F"/>
    <w:rsid w:val="00585B23"/>
    <w:rsid w:val="005908D2"/>
    <w:rsid w:val="00590B5F"/>
    <w:rsid w:val="00592F28"/>
    <w:rsid w:val="00593B56"/>
    <w:rsid w:val="005943B2"/>
    <w:rsid w:val="00595618"/>
    <w:rsid w:val="005A0EDD"/>
    <w:rsid w:val="005A5FF9"/>
    <w:rsid w:val="005A616F"/>
    <w:rsid w:val="005A6F48"/>
    <w:rsid w:val="005B388F"/>
    <w:rsid w:val="005B7B7A"/>
    <w:rsid w:val="005C239F"/>
    <w:rsid w:val="005C331B"/>
    <w:rsid w:val="005C4593"/>
    <w:rsid w:val="005D6DA8"/>
    <w:rsid w:val="005E12CD"/>
    <w:rsid w:val="005E2166"/>
    <w:rsid w:val="005E2985"/>
    <w:rsid w:val="005E3251"/>
    <w:rsid w:val="005E5D66"/>
    <w:rsid w:val="005F3B1B"/>
    <w:rsid w:val="00606493"/>
    <w:rsid w:val="00607D98"/>
    <w:rsid w:val="0061059A"/>
    <w:rsid w:val="006126CA"/>
    <w:rsid w:val="006131BB"/>
    <w:rsid w:val="00613B1E"/>
    <w:rsid w:val="00614741"/>
    <w:rsid w:val="00615F1B"/>
    <w:rsid w:val="00616FB0"/>
    <w:rsid w:val="006210C4"/>
    <w:rsid w:val="00622B32"/>
    <w:rsid w:val="00634928"/>
    <w:rsid w:val="00635671"/>
    <w:rsid w:val="006360DA"/>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2AF9"/>
    <w:rsid w:val="006C3A94"/>
    <w:rsid w:val="006C7E35"/>
    <w:rsid w:val="006D132D"/>
    <w:rsid w:val="006D2259"/>
    <w:rsid w:val="006D30AC"/>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56108"/>
    <w:rsid w:val="008602F7"/>
    <w:rsid w:val="00861C5F"/>
    <w:rsid w:val="008626D8"/>
    <w:rsid w:val="00863644"/>
    <w:rsid w:val="00864950"/>
    <w:rsid w:val="00864B00"/>
    <w:rsid w:val="00870861"/>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3533"/>
    <w:rsid w:val="008D7BED"/>
    <w:rsid w:val="008E4413"/>
    <w:rsid w:val="008E4684"/>
    <w:rsid w:val="008E4F84"/>
    <w:rsid w:val="008E6844"/>
    <w:rsid w:val="008F08D9"/>
    <w:rsid w:val="008F1346"/>
    <w:rsid w:val="008F540C"/>
    <w:rsid w:val="008F7AA4"/>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5F26"/>
    <w:rsid w:val="009A63AD"/>
    <w:rsid w:val="009B6105"/>
    <w:rsid w:val="009C0727"/>
    <w:rsid w:val="009C49AE"/>
    <w:rsid w:val="009C6214"/>
    <w:rsid w:val="009C667C"/>
    <w:rsid w:val="009C79F2"/>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40F3"/>
    <w:rsid w:val="00A97CB6"/>
    <w:rsid w:val="00AA28BF"/>
    <w:rsid w:val="00AA3D6A"/>
    <w:rsid w:val="00AA42AF"/>
    <w:rsid w:val="00AA69E4"/>
    <w:rsid w:val="00AA7169"/>
    <w:rsid w:val="00AA7233"/>
    <w:rsid w:val="00AB0C5E"/>
    <w:rsid w:val="00AB25ED"/>
    <w:rsid w:val="00AB32B3"/>
    <w:rsid w:val="00AB3F85"/>
    <w:rsid w:val="00AB4AC5"/>
    <w:rsid w:val="00AC19F1"/>
    <w:rsid w:val="00AC57B6"/>
    <w:rsid w:val="00AC5BD9"/>
    <w:rsid w:val="00AC68C5"/>
    <w:rsid w:val="00AC6E03"/>
    <w:rsid w:val="00AD17B1"/>
    <w:rsid w:val="00AD4B9B"/>
    <w:rsid w:val="00AD768A"/>
    <w:rsid w:val="00AE116C"/>
    <w:rsid w:val="00AE342A"/>
    <w:rsid w:val="00AE4F0E"/>
    <w:rsid w:val="00AE627B"/>
    <w:rsid w:val="00AE6EAF"/>
    <w:rsid w:val="00AE76AB"/>
    <w:rsid w:val="00AF0F4C"/>
    <w:rsid w:val="00AF3407"/>
    <w:rsid w:val="00AF5AD3"/>
    <w:rsid w:val="00B0589A"/>
    <w:rsid w:val="00B12E3A"/>
    <w:rsid w:val="00B14BC8"/>
    <w:rsid w:val="00B20C57"/>
    <w:rsid w:val="00B21D87"/>
    <w:rsid w:val="00B22ADA"/>
    <w:rsid w:val="00B24E76"/>
    <w:rsid w:val="00B334B9"/>
    <w:rsid w:val="00B34323"/>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5D25"/>
    <w:rsid w:val="00BB7338"/>
    <w:rsid w:val="00BC2D24"/>
    <w:rsid w:val="00BC577A"/>
    <w:rsid w:val="00BD0905"/>
    <w:rsid w:val="00BD455F"/>
    <w:rsid w:val="00BD707B"/>
    <w:rsid w:val="00BE0187"/>
    <w:rsid w:val="00BE1212"/>
    <w:rsid w:val="00BE1A05"/>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6792"/>
    <w:rsid w:val="00C56FAF"/>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6580"/>
    <w:rsid w:val="00CC6FE0"/>
    <w:rsid w:val="00CD554E"/>
    <w:rsid w:val="00CD6130"/>
    <w:rsid w:val="00CE0386"/>
    <w:rsid w:val="00CF0031"/>
    <w:rsid w:val="00CF0C99"/>
    <w:rsid w:val="00CF23C2"/>
    <w:rsid w:val="00CF46D3"/>
    <w:rsid w:val="00CF61F2"/>
    <w:rsid w:val="00D076FD"/>
    <w:rsid w:val="00D1118A"/>
    <w:rsid w:val="00D12CB8"/>
    <w:rsid w:val="00D16CE2"/>
    <w:rsid w:val="00D17B06"/>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B5E7F"/>
    <w:rsid w:val="00DB6CE7"/>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241"/>
    <w:rsid w:val="00E34794"/>
    <w:rsid w:val="00E41279"/>
    <w:rsid w:val="00E502C4"/>
    <w:rsid w:val="00E5455B"/>
    <w:rsid w:val="00E556C7"/>
    <w:rsid w:val="00E55ABC"/>
    <w:rsid w:val="00E56168"/>
    <w:rsid w:val="00E561B7"/>
    <w:rsid w:val="00E57B74"/>
    <w:rsid w:val="00E57FEF"/>
    <w:rsid w:val="00E642B3"/>
    <w:rsid w:val="00E70C18"/>
    <w:rsid w:val="00E71B84"/>
    <w:rsid w:val="00E71CDE"/>
    <w:rsid w:val="00E8172D"/>
    <w:rsid w:val="00E86057"/>
    <w:rsid w:val="00E8629F"/>
    <w:rsid w:val="00E90B54"/>
    <w:rsid w:val="00E96BC6"/>
    <w:rsid w:val="00E97AA9"/>
    <w:rsid w:val="00EA09B1"/>
    <w:rsid w:val="00EA0B7F"/>
    <w:rsid w:val="00EA3C24"/>
    <w:rsid w:val="00EA3D76"/>
    <w:rsid w:val="00EA6557"/>
    <w:rsid w:val="00EA739C"/>
    <w:rsid w:val="00EB0292"/>
    <w:rsid w:val="00EB5C08"/>
    <w:rsid w:val="00EB61A0"/>
    <w:rsid w:val="00EC0715"/>
    <w:rsid w:val="00EC6A1C"/>
    <w:rsid w:val="00ED5F47"/>
    <w:rsid w:val="00ED7922"/>
    <w:rsid w:val="00EE01EA"/>
    <w:rsid w:val="00EE066A"/>
    <w:rsid w:val="00EE0A12"/>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643D3"/>
    <w:rsid w:val="00F7184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E17"/>
    <w:rsid w:val="00FC5F9D"/>
    <w:rsid w:val="00FD16E0"/>
    <w:rsid w:val="00FD182B"/>
    <w:rsid w:val="00FD446A"/>
    <w:rsid w:val="00FD7A87"/>
    <w:rsid w:val="00FE1522"/>
    <w:rsid w:val="00FE1983"/>
    <w:rsid w:val="00FE4CF6"/>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8F195A6A-2FD0-4CE1-A051-EEE04CD1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2</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118</cp:revision>
  <dcterms:created xsi:type="dcterms:W3CDTF">2020-05-26T02:02:00Z</dcterms:created>
  <dcterms:modified xsi:type="dcterms:W3CDTF">2024-05-07T13:03:00Z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